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jc w:val="center"/>
        <w:rPr>
          <w:rFonts w:ascii="Merriweather" w:cs="Merriweather" w:eastAsia="Merriweather" w:hAnsi="Merriweather"/>
        </w:rPr>
      </w:pPr>
      <w:bookmarkStart w:colFirst="0" w:colLast="0" w:name="_twg8ibtrk3k" w:id="0"/>
      <w:bookmarkEnd w:id="0"/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Entregables de la primera iteración</w:t>
      </w:r>
    </w:p>
    <w:p w:rsidR="00000000" w:rsidDel="00000000" w:rsidP="00000000" w:rsidRDefault="00000000" w:rsidRPr="00000000" w14:paraId="00000002">
      <w:pPr>
        <w:pStyle w:val="Heading1"/>
        <w:jc w:val="center"/>
        <w:rPr>
          <w:rFonts w:ascii="Merriweather Black" w:cs="Merriweather Black" w:eastAsia="Merriweather Black" w:hAnsi="Merriweather Black"/>
        </w:rPr>
      </w:pPr>
      <w:bookmarkStart w:colFirst="0" w:colLast="0" w:name="_kpb1wsn7mrlm" w:id="1"/>
      <w:bookmarkEnd w:id="1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BGB</w:t>
      </w:r>
    </w:p>
    <w:p w:rsidR="00000000" w:rsidDel="00000000" w:rsidP="00000000" w:rsidRDefault="00000000" w:rsidRPr="00000000" w14:paraId="00000003">
      <w:pPr>
        <w:pStyle w:val="Subtitle"/>
        <w:jc w:val="center"/>
        <w:rPr/>
      </w:pPr>
      <w:bookmarkStart w:colFirst="0" w:colLast="0" w:name="_ffy39cuil2el" w:id="2"/>
      <w:bookmarkEnd w:id="2"/>
      <w:r w:rsidDel="00000000" w:rsidR="00000000" w:rsidRPr="00000000">
        <w:rPr>
          <w:rtl w:val="0"/>
        </w:rPr>
        <w:t xml:space="preserve">BoardGames Brotherhood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057650" cy="4067175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00" w:lineRule="auto"/>
        <w:jc w:val="right"/>
        <w:rPr>
          <w:rFonts w:ascii="Merriweather" w:cs="Merriweather" w:eastAsia="Merriweather" w:hAnsi="Merriweather"/>
          <w:b w:val="1"/>
          <w:sz w:val="25"/>
          <w:szCs w:val="25"/>
        </w:rPr>
      </w:pPr>
      <w:r w:rsidDel="00000000" w:rsidR="00000000" w:rsidRPr="00000000">
        <w:rPr>
          <w:rFonts w:ascii="Merriweather" w:cs="Merriweather" w:eastAsia="Merriweather" w:hAnsi="Merriweather"/>
          <w:b w:val="1"/>
          <w:sz w:val="25"/>
          <w:szCs w:val="25"/>
          <w:rtl w:val="0"/>
        </w:rPr>
        <w:t xml:space="preserve">Autores:</w:t>
      </w:r>
    </w:p>
    <w:p w:rsidR="00000000" w:rsidDel="00000000" w:rsidP="00000000" w:rsidRDefault="00000000" w:rsidRPr="00000000" w14:paraId="0000000F">
      <w:pPr>
        <w:spacing w:after="200" w:lineRule="auto"/>
        <w:jc w:val="right"/>
        <w:rPr>
          <w:rFonts w:ascii="Merriweather" w:cs="Merriweather" w:eastAsia="Merriweather" w:hAnsi="Merriweather"/>
          <w:sz w:val="25"/>
          <w:szCs w:val="25"/>
        </w:rPr>
      </w:pPr>
      <w:r w:rsidDel="00000000" w:rsidR="00000000" w:rsidRPr="00000000">
        <w:rPr>
          <w:rFonts w:ascii="Merriweather" w:cs="Merriweather" w:eastAsia="Merriweather" w:hAnsi="Merriweather"/>
          <w:sz w:val="25"/>
          <w:szCs w:val="25"/>
          <w:rtl w:val="0"/>
        </w:rPr>
        <w:t xml:space="preserve">Fernando Izquierdo Romera</w:t>
      </w:r>
    </w:p>
    <w:p w:rsidR="00000000" w:rsidDel="00000000" w:rsidP="00000000" w:rsidRDefault="00000000" w:rsidRPr="00000000" w14:paraId="00000010">
      <w:pPr>
        <w:spacing w:after="200" w:lineRule="auto"/>
        <w:jc w:val="right"/>
        <w:rPr>
          <w:rFonts w:ascii="Merriweather" w:cs="Merriweather" w:eastAsia="Merriweather" w:hAnsi="Merriweather"/>
          <w:sz w:val="25"/>
          <w:szCs w:val="25"/>
        </w:rPr>
      </w:pPr>
      <w:r w:rsidDel="00000000" w:rsidR="00000000" w:rsidRPr="00000000">
        <w:rPr>
          <w:rFonts w:ascii="Merriweather" w:cs="Merriweather" w:eastAsia="Merriweather" w:hAnsi="Merriweather"/>
          <w:sz w:val="25"/>
          <w:szCs w:val="25"/>
          <w:rtl w:val="0"/>
        </w:rPr>
        <w:t xml:space="preserve">José Antonio Córdoba Gómez</w:t>
      </w:r>
    </w:p>
    <w:p w:rsidR="00000000" w:rsidDel="00000000" w:rsidP="00000000" w:rsidRDefault="00000000" w:rsidRPr="00000000" w14:paraId="00000011">
      <w:pPr>
        <w:spacing w:after="200" w:lineRule="auto"/>
        <w:jc w:val="right"/>
        <w:rPr>
          <w:rFonts w:ascii="Merriweather" w:cs="Merriweather" w:eastAsia="Merriweather" w:hAnsi="Merriweather"/>
          <w:sz w:val="25"/>
          <w:szCs w:val="25"/>
        </w:rPr>
      </w:pPr>
      <w:r w:rsidDel="00000000" w:rsidR="00000000" w:rsidRPr="00000000">
        <w:rPr>
          <w:rFonts w:ascii="Merriweather" w:cs="Merriweather" w:eastAsia="Merriweather" w:hAnsi="Merriweather"/>
          <w:sz w:val="25"/>
          <w:szCs w:val="25"/>
          <w:rtl w:val="0"/>
        </w:rPr>
        <w:t xml:space="preserve">Ángel Píñar Rivas</w:t>
      </w:r>
    </w:p>
    <w:p w:rsidR="00000000" w:rsidDel="00000000" w:rsidP="00000000" w:rsidRDefault="00000000" w:rsidRPr="00000000" w14:paraId="00000012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n1yutek99hcl" w:id="3"/>
      <w:bookmarkEnd w:id="3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Índice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  <w:rtl w:val="0"/>
            </w:rPr>
            <w:t xml:space="preserve">Historial de Cambios</w:t>
            <w:tab/>
            <w:t xml:space="preserve">3</w:t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  <w:rtl w:val="0"/>
            </w:rPr>
            <w:t xml:space="preserve">1. Diagrama HTA</w:t>
            <w:tab/>
            <w:t xml:space="preserve">4</w:t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  <w:rtl w:val="0"/>
            </w:rPr>
            <w:t xml:space="preserve">2. Diagrama wireflow</w:t>
            <w:tab/>
            <w:t xml:space="preserve">4</w:t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after="80" w:before="200" w:line="240" w:lineRule="auto"/>
            <w:ind w:left="0" w:firstLine="0"/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Fonts w:ascii="Merriweather" w:cs="Merriweather" w:eastAsia="Merriweather" w:hAnsi="Merriweather"/>
              <w:b w:val="1"/>
              <w:i w:val="0"/>
              <w:smallCaps w:val="0"/>
              <w:strike w:val="0"/>
              <w:color w:val="000000"/>
              <w:sz w:val="19"/>
              <w:szCs w:val="19"/>
              <w:u w:val="none"/>
              <w:shd w:fill="auto" w:val="clear"/>
              <w:vertAlign w:val="baseline"/>
              <w:rtl w:val="0"/>
            </w:rPr>
            <w:t xml:space="preserve">3. Bocetos</w:t>
            <w:tab/>
            <w:t xml:space="preserve">4</w:t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1"/>
        <w:pBdr>
          <w:bottom w:color="4f81bd" w:space="4" w:sz="8" w:val="single"/>
        </w:pBdr>
        <w:spacing w:after="300" w:line="240" w:lineRule="auto"/>
        <w:rPr>
          <w:rFonts w:ascii="Merriweather Black" w:cs="Merriweather Black" w:eastAsia="Merriweather Black" w:hAnsi="Merriweather Black"/>
        </w:rPr>
      </w:pPr>
      <w:bookmarkStart w:colFirst="0" w:colLast="0" w:name="_9a0q3g39zrd1" w:id="4"/>
      <w:bookmarkEnd w:id="4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Historial de Cambios</w:t>
      </w:r>
    </w:p>
    <w:tbl>
      <w:tblPr>
        <w:tblStyle w:val="Table1"/>
        <w:tblW w:w="9054.0" w:type="dxa"/>
        <w:jc w:val="center"/>
        <w:tblBorders>
          <w:top w:color="4bacc6" w:space="0" w:sz="8" w:val="single"/>
          <w:left w:color="4bacc6" w:space="0" w:sz="8" w:val="single"/>
          <w:bottom w:color="4bacc6" w:space="0" w:sz="8" w:val="single"/>
          <w:right w:color="4bacc6" w:space="0" w:sz="8" w:val="single"/>
          <w:insideH w:color="4bacc6" w:space="0" w:sz="8" w:val="single"/>
          <w:insideV w:color="4bacc6" w:space="0" w:sz="8" w:val="single"/>
        </w:tblBorders>
        <w:tblLayout w:type="fixed"/>
        <w:tblLook w:val="0000"/>
      </w:tblPr>
      <w:tblGrid>
        <w:gridCol w:w="1368"/>
        <w:gridCol w:w="1440"/>
        <w:gridCol w:w="3870"/>
        <w:gridCol w:w="2376"/>
        <w:tblGridChange w:id="0">
          <w:tblGrid>
            <w:gridCol w:w="1368"/>
            <w:gridCol w:w="1440"/>
            <w:gridCol w:w="3870"/>
            <w:gridCol w:w="2376"/>
          </w:tblGrid>
        </w:tblGridChange>
      </w:tblGrid>
      <w:tr>
        <w:trPr>
          <w:trHeight w:val="354" w:hRule="atLeast"/>
        </w:trPr>
        <w:tc>
          <w:tcPr>
            <w:tcBorders>
              <w:bottom w:color="4bacc6" w:space="0" w:sz="18" w:val="single"/>
            </w:tcBorders>
          </w:tcPr>
          <w:p w:rsidR="00000000" w:rsidDel="00000000" w:rsidP="00000000" w:rsidRDefault="00000000" w:rsidRPr="00000000" w14:paraId="00000040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Fecha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bacc6" w:space="0" w:sz="18" w:val="single"/>
            </w:tcBorders>
            <w:vAlign w:val="top"/>
          </w:tcPr>
          <w:p w:rsidR="00000000" w:rsidDel="00000000" w:rsidP="00000000" w:rsidRDefault="00000000" w:rsidRPr="00000000" w14:paraId="00000041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Versión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bacc6" w:space="0" w:sz="18" w:val="single"/>
            </w:tcBorders>
          </w:tcPr>
          <w:p w:rsidR="00000000" w:rsidDel="00000000" w:rsidP="00000000" w:rsidRDefault="00000000" w:rsidRPr="00000000" w14:paraId="00000042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Descripción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4bacc6" w:space="0" w:sz="18" w:val="single"/>
            </w:tcBorders>
          </w:tcPr>
          <w:p w:rsidR="00000000" w:rsidDel="00000000" w:rsidP="00000000" w:rsidRDefault="00000000" w:rsidRPr="00000000" w14:paraId="00000043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rtl w:val="0"/>
              </w:rPr>
              <w:t xml:space="preserve">Autor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d2eaf1" w:val="clear"/>
            <w:vAlign w:val="center"/>
          </w:tcPr>
          <w:p w:rsidR="00000000" w:rsidDel="00000000" w:rsidP="00000000" w:rsidRDefault="00000000" w:rsidRPr="00000000" w14:paraId="00000044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01-12-2020</w:t>
            </w:r>
          </w:p>
        </w:tc>
        <w:tc>
          <w:tcPr>
            <w:shd w:fill="d2eaf1" w:val="clear"/>
            <w:vAlign w:val="center"/>
          </w:tcPr>
          <w:p w:rsidR="00000000" w:rsidDel="00000000" w:rsidP="00000000" w:rsidRDefault="00000000" w:rsidRPr="00000000" w14:paraId="00000045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1.0.0</w:t>
            </w:r>
          </w:p>
        </w:tc>
        <w:tc>
          <w:tcPr>
            <w:shd w:fill="d2eaf1" w:val="clear"/>
            <w:vAlign w:val="center"/>
          </w:tcPr>
          <w:p w:rsidR="00000000" w:rsidDel="00000000" w:rsidP="00000000" w:rsidRDefault="00000000" w:rsidRPr="00000000" w14:paraId="00000046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Primera versión del documento</w:t>
            </w:r>
          </w:p>
        </w:tc>
        <w:tc>
          <w:tcPr>
            <w:shd w:fill="d2eaf1" w:val="clear"/>
            <w:vAlign w:val="center"/>
          </w:tcPr>
          <w:p w:rsidR="00000000" w:rsidDel="00000000" w:rsidP="00000000" w:rsidRDefault="00000000" w:rsidRPr="00000000" w14:paraId="00000047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José Antonio Córdoba Gómez</w:t>
            </w:r>
          </w:p>
          <w:p w:rsidR="00000000" w:rsidDel="00000000" w:rsidP="00000000" w:rsidRDefault="00000000" w:rsidRPr="00000000" w14:paraId="00000048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Fernando Izquierdo Romera</w:t>
            </w:r>
          </w:p>
          <w:p w:rsidR="00000000" w:rsidDel="00000000" w:rsidP="00000000" w:rsidRDefault="00000000" w:rsidRPr="00000000" w14:paraId="00000049">
            <w:pPr>
              <w:spacing w:after="200" w:line="276" w:lineRule="auto"/>
              <w:jc w:val="center"/>
              <w:rPr>
                <w:rFonts w:ascii="Cambria" w:cs="Cambria" w:eastAsia="Cambria" w:hAnsi="Cambria"/>
              </w:rPr>
            </w:pPr>
            <w:r w:rsidDel="00000000" w:rsidR="00000000" w:rsidRPr="00000000">
              <w:rPr>
                <w:rFonts w:ascii="Cambria" w:cs="Cambria" w:eastAsia="Cambria" w:hAnsi="Cambria"/>
                <w:rtl w:val="0"/>
              </w:rPr>
              <w:t xml:space="preserve">Ángel Píñar Rivas</w:t>
            </w:r>
          </w:p>
        </w:tc>
      </w:tr>
    </w:tbl>
    <w:p w:rsidR="00000000" w:rsidDel="00000000" w:rsidP="00000000" w:rsidRDefault="00000000" w:rsidRPr="00000000" w14:paraId="0000004A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00" w:line="276" w:lineRule="auto"/>
        <w:rPr>
          <w:rFonts w:ascii="Merriweather" w:cs="Merriweather" w:eastAsia="Merriweather" w:hAnsi="Merriweather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>
          <w:rFonts w:ascii="Merriweather" w:cs="Merriweather" w:eastAsia="Merriweather" w:hAnsi="Merriweather"/>
        </w:rPr>
      </w:pPr>
      <w:r w:rsidDel="00000000" w:rsidR="00000000" w:rsidRPr="00000000">
        <w:rPr>
          <w:rFonts w:ascii="Merriweather" w:cs="Merriweather" w:eastAsia="Merriweather" w:hAnsi="Merriweather"/>
          <w:rtl w:val="0"/>
        </w:rPr>
        <w:t xml:space="preserve">En este documento presentamos los diferentes diagramas y bocetos realizados. De igual forma, los archivos se entregarán independientemente por si no se pueden apreciar correctamente aquí o se quieren observar en mayor detalle.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kn4544anl1kz" w:id="5"/>
      <w:bookmarkEnd w:id="5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1. Diagrama HTA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-496.0629921259843" w:right="-607.7952755905517" w:firstLine="0"/>
        <w:rPr/>
      </w:pPr>
      <w:r w:rsidDel="00000000" w:rsidR="00000000" w:rsidRPr="00000000">
        <w:rPr/>
        <w:drawing>
          <wp:inline distB="114300" distT="114300" distL="114300" distR="114300">
            <wp:extent cx="6427427" cy="248598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7427" cy="2485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-566.9291338582677" w:right="-678.661417322835" w:firstLine="0"/>
        <w:rPr/>
      </w:pPr>
      <w:r w:rsidDel="00000000" w:rsidR="00000000" w:rsidRPr="00000000">
        <w:rPr/>
        <w:drawing>
          <wp:inline distB="114300" distT="114300" distL="114300" distR="114300">
            <wp:extent cx="6586201" cy="2330334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6201" cy="2330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-566.9291338582677" w:right="-607.7952755905517" w:firstLine="0"/>
        <w:rPr/>
      </w:pPr>
      <w:r w:rsidDel="00000000" w:rsidR="00000000" w:rsidRPr="00000000">
        <w:rPr/>
        <w:drawing>
          <wp:inline distB="114300" distT="114300" distL="114300" distR="114300">
            <wp:extent cx="6430973" cy="438785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30973" cy="438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5042bf45uyyv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e5aalr1ftis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spacing w:before="0" w:lineRule="auto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7wyjz2yazh6f" w:id="8"/>
      <w:bookmarkEnd w:id="8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2. Diagrama wireflow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-566.9291338582677" w:right="-607.7952755905511" w:firstLine="0"/>
        <w:rPr/>
      </w:pPr>
      <w:r w:rsidDel="00000000" w:rsidR="00000000" w:rsidRPr="00000000">
        <w:rPr/>
        <w:drawing>
          <wp:inline distB="114300" distT="114300" distL="114300" distR="114300">
            <wp:extent cx="6458770" cy="3862388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8770" cy="386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1p5pkvql6s1c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1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u4y0fgc8ur5k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spacing w:after="0" w:lineRule="auto"/>
        <w:jc w:val="both"/>
        <w:rPr>
          <w:rFonts w:ascii="Merriweather Black" w:cs="Merriweather Black" w:eastAsia="Merriweather Black" w:hAnsi="Merriweather Black"/>
          <w:sz w:val="12"/>
          <w:szCs w:val="12"/>
        </w:rPr>
      </w:pPr>
      <w:bookmarkStart w:colFirst="0" w:colLast="0" w:name="_gd8wvhbb7y96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spacing w:after="0" w:lineRule="auto"/>
        <w:jc w:val="both"/>
        <w:rPr>
          <w:rFonts w:ascii="Merriweather Black" w:cs="Merriweather Black" w:eastAsia="Merriweather Black" w:hAnsi="Merriweather Black"/>
          <w:sz w:val="12"/>
          <w:szCs w:val="12"/>
        </w:rPr>
      </w:pPr>
      <w:bookmarkStart w:colFirst="0" w:colLast="0" w:name="_3rr3bgsa12a5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1"/>
        <w:spacing w:before="0" w:lineRule="auto"/>
        <w:jc w:val="both"/>
        <w:rPr>
          <w:rFonts w:ascii="Merriweather Black" w:cs="Merriweather Black" w:eastAsia="Merriweather Black" w:hAnsi="Merriweather Black"/>
        </w:rPr>
      </w:pPr>
      <w:bookmarkStart w:colFirst="0" w:colLast="0" w:name="_705a4nvjutx" w:id="13"/>
      <w:bookmarkEnd w:id="13"/>
      <w:r w:rsidDel="00000000" w:rsidR="00000000" w:rsidRPr="00000000">
        <w:rPr>
          <w:rFonts w:ascii="Merriweather Black" w:cs="Merriweather Black" w:eastAsia="Merriweather Black" w:hAnsi="Merriweather Black"/>
          <w:rtl w:val="0"/>
        </w:rPr>
        <w:t xml:space="preserve">3. Bocetos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4962602" cy="7204075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2602" cy="7204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3705225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686425" cy="3609975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610225" cy="802005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02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9375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289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8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026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Merriweather Black">
    <w:embedBold w:fontKey="{00000000-0000-0000-0000-000000000000}" r:id="rId1" w:subsetted="0"/>
    <w:embedBoldItalic w:fontKey="{00000000-0000-0000-0000-000000000000}" r:id="rId2" w:subsetted="0"/>
  </w:font>
  <w:font w:name="Merriweather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7.png"/><Relationship Id="rId10" Type="http://schemas.openxmlformats.org/officeDocument/2006/relationships/image" Target="media/image15.png"/><Relationship Id="rId13" Type="http://schemas.openxmlformats.org/officeDocument/2006/relationships/image" Target="media/image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3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.png"/><Relationship Id="rId18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erriweatherBlack-bold.ttf"/><Relationship Id="rId2" Type="http://schemas.openxmlformats.org/officeDocument/2006/relationships/font" Target="fonts/MerriweatherBlack-boldItalic.ttf"/><Relationship Id="rId3" Type="http://schemas.openxmlformats.org/officeDocument/2006/relationships/font" Target="fonts/Merriweather-regular.ttf"/><Relationship Id="rId4" Type="http://schemas.openxmlformats.org/officeDocument/2006/relationships/font" Target="fonts/Merriweather-bold.ttf"/><Relationship Id="rId5" Type="http://schemas.openxmlformats.org/officeDocument/2006/relationships/font" Target="fonts/Merriweather-italic.ttf"/><Relationship Id="rId6" Type="http://schemas.openxmlformats.org/officeDocument/2006/relationships/font" Target="fonts/Merriweather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